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2D3" w:rsidRPr="006522D3" w:rsidRDefault="006522D3" w:rsidP="006522D3">
      <w:pPr>
        <w:pStyle w:val="a3"/>
        <w:spacing w:line="276" w:lineRule="auto"/>
        <w:rPr>
          <w:rFonts w:ascii="Calibri" w:hAnsi="Calibri"/>
          <w:b/>
        </w:rPr>
      </w:pPr>
      <w:r>
        <w:rPr>
          <w:rFonts w:ascii="PTSansRegular" w:hAnsi="PTSansRegular"/>
          <w:b/>
          <w:bCs/>
          <w:sz w:val="26"/>
          <w:szCs w:val="28"/>
        </w:rPr>
        <w:t xml:space="preserve">  </w:t>
      </w:r>
      <w:r w:rsidRPr="006522D3">
        <w:rPr>
          <w:rFonts w:ascii="Calibri" w:hAnsi="Calibri"/>
          <w:b/>
        </w:rPr>
        <w:t xml:space="preserve">                                                             </w:t>
      </w:r>
      <w:r w:rsidRPr="006522D3">
        <w:rPr>
          <w:rFonts w:ascii="Calibri" w:hAnsi="Calibri"/>
          <w:b/>
          <w:noProof/>
        </w:rPr>
        <w:drawing>
          <wp:inline distT="0" distB="0" distL="0" distR="0" wp14:anchorId="06842634" wp14:editId="16BA4CE5">
            <wp:extent cx="1038225" cy="828675"/>
            <wp:effectExtent l="0" t="0" r="0" b="0"/>
            <wp:docPr id="1" name="Рисунок 1" descr="Описание: Описание: C:\Users\1\Downloads\загруженное.jpgгерб да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C:\Users\1\Downloads\загруженное.jpgгерб даг.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828675"/>
                    </a:xfrm>
                    <a:prstGeom prst="rect">
                      <a:avLst/>
                    </a:prstGeom>
                    <a:noFill/>
                    <a:ln>
                      <a:noFill/>
                    </a:ln>
                  </pic:spPr>
                </pic:pic>
              </a:graphicData>
            </a:graphic>
          </wp:inline>
        </w:drawing>
      </w:r>
      <w:r w:rsidRPr="006522D3">
        <w:rPr>
          <w:rFonts w:ascii="Calibri" w:hAnsi="Calibri"/>
          <w:b/>
        </w:rPr>
        <w:t xml:space="preserve">         </w:t>
      </w:r>
    </w:p>
    <w:p w:rsidR="006522D3" w:rsidRPr="006522D3" w:rsidRDefault="006522D3" w:rsidP="006522D3">
      <w:pPr>
        <w:spacing w:line="276" w:lineRule="auto"/>
        <w:rPr>
          <w:rFonts w:ascii="Calibri" w:eastAsia="Times New Roman" w:hAnsi="Calibri" w:cs="Times New Roman"/>
          <w:sz w:val="24"/>
          <w:szCs w:val="24"/>
          <w:lang w:eastAsia="ru-RU"/>
        </w:rPr>
      </w:pPr>
      <w:r w:rsidRPr="006522D3">
        <w:rPr>
          <w:rFonts w:ascii="Calibri" w:eastAsia="Times New Roman" w:hAnsi="Calibri" w:cs="Times New Roman"/>
          <w:sz w:val="24"/>
          <w:szCs w:val="24"/>
          <w:lang w:eastAsia="ru-RU"/>
        </w:rPr>
        <w:t xml:space="preserve">                            МИНИСТЕРСТВО ОБРАЗОВАНИЯ РЕСПУБЛИКИ ДАГЕСТАН  </w:t>
      </w:r>
    </w:p>
    <w:p w:rsidR="006522D3" w:rsidRPr="006522D3" w:rsidRDefault="006522D3" w:rsidP="006522D3">
      <w:pPr>
        <w:spacing w:line="276" w:lineRule="auto"/>
        <w:rPr>
          <w:rFonts w:ascii="Calibri" w:eastAsia="Times New Roman" w:hAnsi="Calibri" w:cs="Times New Roman"/>
          <w:sz w:val="24"/>
          <w:szCs w:val="24"/>
          <w:lang w:eastAsia="ru-RU"/>
        </w:rPr>
      </w:pPr>
      <w:r w:rsidRPr="006522D3">
        <w:rPr>
          <w:rFonts w:ascii="Calibri" w:eastAsia="Times New Roman" w:hAnsi="Calibri" w:cs="Times New Roman"/>
          <w:sz w:val="24"/>
          <w:szCs w:val="24"/>
          <w:lang w:eastAsia="ru-RU"/>
        </w:rPr>
        <w:t xml:space="preserve">               МУНИЦИПАЛЬНОЕ КАЗЕННОЕ ОБЩЕОБРАЗОВАТЕЛЬНОЕ УЧРЕЖДЕНИЕ </w:t>
      </w:r>
    </w:p>
    <w:p w:rsidR="006522D3" w:rsidRPr="006522D3" w:rsidRDefault="006522D3" w:rsidP="006522D3">
      <w:pPr>
        <w:spacing w:line="276" w:lineRule="auto"/>
        <w:rPr>
          <w:rFonts w:ascii="Calibri" w:eastAsia="Times New Roman" w:hAnsi="Calibri" w:cs="Times New Roman"/>
          <w:sz w:val="24"/>
          <w:szCs w:val="24"/>
          <w:lang w:eastAsia="ru-RU"/>
        </w:rPr>
      </w:pPr>
      <w:r w:rsidRPr="006522D3">
        <w:rPr>
          <w:rFonts w:ascii="Calibri" w:eastAsia="Times New Roman" w:hAnsi="Calibri" w:cs="Times New Roman"/>
          <w:sz w:val="24"/>
          <w:szCs w:val="24"/>
          <w:lang w:eastAsia="ru-RU"/>
        </w:rPr>
        <w:t xml:space="preserve">              «ЗУБУТЛИ–МИАТЛИНСКАЯ СРЕДНЯЯ  ОБЩЕОБРАЗОВАТЕЛЬНАЯ ШКОЛА»</w:t>
      </w:r>
    </w:p>
    <w:tbl>
      <w:tblPr>
        <w:tblW w:w="11415" w:type="dxa"/>
        <w:tblInd w:w="-1398" w:type="dxa"/>
        <w:tblBorders>
          <w:top w:val="thinThickThinSmallGap" w:sz="24" w:space="0" w:color="auto"/>
        </w:tblBorders>
        <w:tblLook w:val="04A0" w:firstRow="1" w:lastRow="0" w:firstColumn="1" w:lastColumn="0" w:noHBand="0" w:noVBand="1"/>
      </w:tblPr>
      <w:tblGrid>
        <w:gridCol w:w="12270"/>
      </w:tblGrid>
      <w:tr w:rsidR="006522D3" w:rsidRPr="006522D3" w:rsidTr="001A16DA">
        <w:trPr>
          <w:trHeight w:val="100"/>
        </w:trPr>
        <w:tc>
          <w:tcPr>
            <w:tcW w:w="11415" w:type="dxa"/>
            <w:tcBorders>
              <w:top w:val="thinThickThinSmallGap" w:sz="24" w:space="0" w:color="auto"/>
              <w:left w:val="nil"/>
              <w:bottom w:val="nil"/>
              <w:right w:val="nil"/>
            </w:tcBorders>
            <w:hideMark/>
          </w:tcPr>
          <w:tbl>
            <w:tblPr>
              <w:tblpPr w:leftFromText="180" w:rightFromText="180" w:bottomFromText="200" w:vertAnchor="text" w:horzAnchor="page" w:tblpX="721" w:tblpYSpec="center"/>
              <w:tblOverlap w:val="never"/>
              <w:tblW w:w="1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4"/>
            </w:tblGrid>
            <w:tr w:rsidR="006522D3" w:rsidRPr="006522D3" w:rsidTr="001A16DA">
              <w:trPr>
                <w:trHeight w:val="80"/>
              </w:trPr>
              <w:tc>
                <w:tcPr>
                  <w:tcW w:w="12044" w:type="dxa"/>
                  <w:tcBorders>
                    <w:top w:val="nil"/>
                    <w:left w:val="single" w:sz="4" w:space="0" w:color="auto"/>
                    <w:bottom w:val="nil"/>
                    <w:right w:val="single" w:sz="4" w:space="0" w:color="auto"/>
                  </w:tcBorders>
                  <w:hideMark/>
                </w:tcPr>
                <w:p w:rsidR="006522D3" w:rsidRPr="006522D3" w:rsidRDefault="006522D3" w:rsidP="006522D3">
                  <w:pPr>
                    <w:spacing w:line="276" w:lineRule="auto"/>
                    <w:ind w:left="1596"/>
                    <w:rPr>
                      <w:rFonts w:ascii="Calibri" w:eastAsia="Times New Roman" w:hAnsi="Calibri" w:cs="Times New Roman"/>
                    </w:rPr>
                  </w:pPr>
                  <w:r w:rsidRPr="006522D3">
                    <w:rPr>
                      <w:rFonts w:ascii="Calibri" w:eastAsia="Times New Roman" w:hAnsi="Calibri" w:cs="Times New Roman"/>
                      <w:lang w:eastAsia="ru-RU"/>
                    </w:rPr>
                    <w:t xml:space="preserve">    </w:t>
                  </w:r>
                </w:p>
              </w:tc>
            </w:tr>
          </w:tbl>
          <w:p w:rsidR="006522D3" w:rsidRPr="006522D3" w:rsidRDefault="006522D3" w:rsidP="006522D3">
            <w:pPr>
              <w:spacing w:after="200" w:line="276" w:lineRule="auto"/>
              <w:rPr>
                <w:sz w:val="20"/>
                <w:szCs w:val="20"/>
              </w:rPr>
            </w:pPr>
          </w:p>
        </w:tc>
      </w:tr>
    </w:tbl>
    <w:p w:rsidR="006522D3" w:rsidRPr="006522D3" w:rsidRDefault="006522D3" w:rsidP="006522D3">
      <w:pPr>
        <w:spacing w:line="276" w:lineRule="auto"/>
        <w:rPr>
          <w:rFonts w:ascii="Calibri" w:eastAsia="Times New Roman" w:hAnsi="Calibri" w:cs="Times New Roman"/>
          <w:b/>
          <w:i/>
        </w:rPr>
      </w:pPr>
      <w:r w:rsidRPr="006522D3">
        <w:rPr>
          <w:rFonts w:ascii="Calibri" w:eastAsia="Times New Roman" w:hAnsi="Calibri" w:cs="Times New Roman"/>
          <w:i/>
          <w:lang w:eastAsia="ru-RU"/>
        </w:rPr>
        <w:t xml:space="preserve">                               </w:t>
      </w:r>
      <w:proofErr w:type="spellStart"/>
      <w:r w:rsidRPr="006522D3">
        <w:rPr>
          <w:rFonts w:ascii="Calibri" w:eastAsia="Times New Roman" w:hAnsi="Calibri" w:cs="Times New Roman"/>
          <w:b/>
          <w:i/>
          <w:lang w:eastAsia="ru-RU"/>
        </w:rPr>
        <w:t>с</w:t>
      </w:r>
      <w:proofErr w:type="gramStart"/>
      <w:r w:rsidRPr="006522D3">
        <w:rPr>
          <w:rFonts w:ascii="Calibri" w:eastAsia="Times New Roman" w:hAnsi="Calibri" w:cs="Times New Roman"/>
          <w:b/>
          <w:i/>
          <w:lang w:eastAsia="ru-RU"/>
        </w:rPr>
        <w:t>.З</w:t>
      </w:r>
      <w:proofErr w:type="gramEnd"/>
      <w:r w:rsidRPr="006522D3">
        <w:rPr>
          <w:rFonts w:ascii="Calibri" w:eastAsia="Times New Roman" w:hAnsi="Calibri" w:cs="Times New Roman"/>
          <w:b/>
          <w:i/>
          <w:lang w:eastAsia="ru-RU"/>
        </w:rPr>
        <w:t>убутли-Миатли</w:t>
      </w:r>
      <w:proofErr w:type="spellEnd"/>
      <w:r w:rsidRPr="006522D3">
        <w:rPr>
          <w:rFonts w:ascii="Calibri" w:eastAsia="Times New Roman" w:hAnsi="Calibri" w:cs="Times New Roman"/>
          <w:b/>
          <w:i/>
          <w:lang w:eastAsia="ru-RU"/>
        </w:rPr>
        <w:t xml:space="preserve">  Кизилюртовского района, ул. Школьная, 1.     </w:t>
      </w:r>
    </w:p>
    <w:p w:rsidR="006522D3" w:rsidRPr="006522D3" w:rsidRDefault="006522D3" w:rsidP="006522D3">
      <w:pPr>
        <w:spacing w:line="276" w:lineRule="auto"/>
        <w:rPr>
          <w:rFonts w:ascii="Calibri" w:eastAsia="Times New Roman" w:hAnsi="Calibri" w:cs="Times New Roman"/>
          <w:b/>
          <w:i/>
          <w:lang w:eastAsia="ru-RU"/>
        </w:rPr>
      </w:pPr>
      <w:r w:rsidRPr="006522D3">
        <w:rPr>
          <w:rFonts w:ascii="Calibri" w:eastAsia="Times New Roman" w:hAnsi="Calibri" w:cs="Times New Roman"/>
          <w:b/>
          <w:i/>
          <w:lang w:eastAsia="ru-RU"/>
        </w:rPr>
        <w:t xml:space="preserve">                                                                     </w:t>
      </w:r>
      <w:proofErr w:type="gramStart"/>
      <w:r w:rsidRPr="006522D3">
        <w:rPr>
          <w:rFonts w:ascii="Calibri" w:eastAsia="Times New Roman" w:hAnsi="Calibri" w:cs="Times New Roman"/>
          <w:b/>
          <w:i/>
          <w:lang w:val="en-US" w:eastAsia="ru-RU"/>
        </w:rPr>
        <w:t>e</w:t>
      </w:r>
      <w:r w:rsidRPr="006522D3">
        <w:rPr>
          <w:rFonts w:ascii="Calibri" w:eastAsia="Times New Roman" w:hAnsi="Calibri" w:cs="Times New Roman"/>
          <w:b/>
          <w:i/>
          <w:lang w:eastAsia="ru-RU"/>
        </w:rPr>
        <w:t>-</w:t>
      </w:r>
      <w:r w:rsidRPr="006522D3">
        <w:rPr>
          <w:rFonts w:ascii="Calibri" w:eastAsia="Times New Roman" w:hAnsi="Calibri" w:cs="Times New Roman"/>
          <w:b/>
          <w:i/>
          <w:lang w:val="en-US" w:eastAsia="ru-RU"/>
        </w:rPr>
        <w:t>mail</w:t>
      </w:r>
      <w:proofErr w:type="gramEnd"/>
      <w:r w:rsidRPr="006522D3">
        <w:rPr>
          <w:rFonts w:ascii="Calibri" w:eastAsia="Times New Roman" w:hAnsi="Calibri" w:cs="Times New Roman"/>
          <w:b/>
          <w:i/>
          <w:lang w:eastAsia="ru-RU"/>
        </w:rPr>
        <w:t xml:space="preserve">:  </w:t>
      </w:r>
      <w:r w:rsidRPr="006522D3">
        <w:rPr>
          <w:rFonts w:ascii="Calibri" w:eastAsia="Times New Roman" w:hAnsi="Calibri" w:cs="Times New Roman"/>
          <w:b/>
          <w:i/>
          <w:lang w:val="en-US" w:eastAsia="ru-RU"/>
        </w:rPr>
        <w:t>z</w:t>
      </w:r>
      <w:r w:rsidRPr="006522D3">
        <w:rPr>
          <w:rFonts w:ascii="Calibri" w:eastAsia="Times New Roman" w:hAnsi="Calibri" w:cs="Times New Roman"/>
          <w:b/>
          <w:i/>
          <w:lang w:eastAsia="ru-RU"/>
        </w:rPr>
        <w:t>-</w:t>
      </w:r>
      <w:proofErr w:type="spellStart"/>
      <w:r w:rsidRPr="006522D3">
        <w:rPr>
          <w:rFonts w:ascii="Calibri" w:eastAsia="Times New Roman" w:hAnsi="Calibri" w:cs="Times New Roman"/>
          <w:b/>
          <w:i/>
          <w:lang w:val="en-US" w:eastAsia="ru-RU"/>
        </w:rPr>
        <w:t>miat</w:t>
      </w:r>
      <w:proofErr w:type="spellEnd"/>
      <w:r w:rsidRPr="006522D3">
        <w:rPr>
          <w:rFonts w:ascii="Calibri" w:eastAsia="Times New Roman" w:hAnsi="Calibri" w:cs="Times New Roman"/>
          <w:b/>
          <w:i/>
          <w:lang w:eastAsia="ru-RU"/>
        </w:rPr>
        <w:t>@</w:t>
      </w:r>
      <w:proofErr w:type="spellStart"/>
      <w:r w:rsidRPr="006522D3">
        <w:rPr>
          <w:rFonts w:ascii="Calibri" w:eastAsia="Times New Roman" w:hAnsi="Calibri" w:cs="Times New Roman"/>
          <w:b/>
          <w:i/>
          <w:lang w:val="en-US" w:eastAsia="ru-RU"/>
        </w:rPr>
        <w:t>yandex</w:t>
      </w:r>
      <w:proofErr w:type="spellEnd"/>
      <w:r w:rsidRPr="006522D3">
        <w:rPr>
          <w:rFonts w:ascii="Calibri" w:eastAsia="Times New Roman" w:hAnsi="Calibri" w:cs="Times New Roman"/>
          <w:b/>
          <w:i/>
          <w:lang w:eastAsia="ru-RU"/>
        </w:rPr>
        <w:t>.</w:t>
      </w:r>
      <w:proofErr w:type="spellStart"/>
      <w:r w:rsidRPr="006522D3">
        <w:rPr>
          <w:rFonts w:ascii="Calibri" w:eastAsia="Times New Roman" w:hAnsi="Calibri" w:cs="Times New Roman"/>
          <w:b/>
          <w:i/>
          <w:lang w:val="en-US" w:eastAsia="ru-RU"/>
        </w:rPr>
        <w:t>ru</w:t>
      </w:r>
      <w:proofErr w:type="spellEnd"/>
    </w:p>
    <w:p w:rsidR="006522D3" w:rsidRPr="006522D3" w:rsidRDefault="006522D3" w:rsidP="006522D3">
      <w:pPr>
        <w:tabs>
          <w:tab w:val="center" w:pos="4336"/>
          <w:tab w:val="left" w:pos="7155"/>
        </w:tabs>
        <w:ind w:left="360"/>
        <w:rPr>
          <w:rFonts w:ascii="Times New Roman" w:eastAsia="Times New Roman" w:hAnsi="Times New Roman" w:cs="Times New Roman"/>
          <w:b/>
          <w:bCs/>
          <w:sz w:val="24"/>
          <w:szCs w:val="24"/>
          <w:lang w:eastAsia="ru-RU"/>
        </w:rPr>
      </w:pPr>
      <w:r w:rsidRPr="006522D3">
        <w:rPr>
          <w:rFonts w:ascii="Times New Roman" w:eastAsia="Times New Roman" w:hAnsi="Times New Roman" w:cs="Times New Roman"/>
          <w:b/>
          <w:bCs/>
          <w:sz w:val="24"/>
          <w:szCs w:val="24"/>
          <w:lang w:eastAsia="ru-RU"/>
        </w:rPr>
        <w:tab/>
        <w:t xml:space="preserve"> </w:t>
      </w:r>
      <w:r w:rsidRPr="006522D3">
        <w:rPr>
          <w:rFonts w:ascii="Times New Roman" w:eastAsia="Times New Roman" w:hAnsi="Times New Roman" w:cs="Times New Roman"/>
          <w:b/>
          <w:bCs/>
          <w:sz w:val="24"/>
          <w:szCs w:val="24"/>
          <w:lang w:eastAsia="ru-RU"/>
        </w:rPr>
        <w:tab/>
        <w:t xml:space="preserve">                         </w:t>
      </w:r>
    </w:p>
    <w:p w:rsidR="006522D3" w:rsidRPr="006522D3" w:rsidRDefault="006522D3" w:rsidP="006522D3">
      <w:pPr>
        <w:tabs>
          <w:tab w:val="center" w:pos="4336"/>
          <w:tab w:val="left" w:pos="7155"/>
        </w:tabs>
        <w:ind w:left="360"/>
        <w:rPr>
          <w:rFonts w:ascii="Times New Roman" w:eastAsia="Times New Roman" w:hAnsi="Times New Roman" w:cs="Times New Roman"/>
          <w:b/>
          <w:bCs/>
          <w:sz w:val="24"/>
          <w:szCs w:val="24"/>
          <w:lang w:eastAsia="ru-RU"/>
        </w:rPr>
      </w:pPr>
      <w:r w:rsidRPr="006522D3">
        <w:rPr>
          <w:rFonts w:ascii="Times New Roman" w:eastAsia="Times New Roman" w:hAnsi="Times New Roman" w:cs="Times New Roman"/>
          <w:b/>
          <w:bCs/>
          <w:sz w:val="24"/>
          <w:szCs w:val="24"/>
          <w:lang w:eastAsia="ru-RU"/>
        </w:rPr>
        <w:t xml:space="preserve">                                                                                                                           Утверждаю</w:t>
      </w:r>
    </w:p>
    <w:p w:rsidR="006522D3" w:rsidRPr="006522D3" w:rsidRDefault="006522D3" w:rsidP="006522D3">
      <w:pPr>
        <w:tabs>
          <w:tab w:val="left" w:pos="3780"/>
        </w:tabs>
        <w:ind w:left="360"/>
        <w:rPr>
          <w:rFonts w:ascii="Times New Roman" w:eastAsia="Times New Roman" w:hAnsi="Times New Roman" w:cs="Times New Roman"/>
          <w:bCs/>
          <w:sz w:val="24"/>
          <w:szCs w:val="24"/>
          <w:lang w:eastAsia="ru-RU"/>
        </w:rPr>
      </w:pPr>
      <w:r w:rsidRPr="006522D3">
        <w:rPr>
          <w:rFonts w:ascii="Times New Roman" w:eastAsia="Times New Roman" w:hAnsi="Times New Roman" w:cs="Times New Roman"/>
          <w:b/>
          <w:bCs/>
          <w:sz w:val="24"/>
          <w:szCs w:val="24"/>
          <w:lang w:eastAsia="ru-RU"/>
        </w:rPr>
        <w:tab/>
        <w:t xml:space="preserve">                                                             </w:t>
      </w:r>
      <w:r w:rsidRPr="006522D3">
        <w:rPr>
          <w:rFonts w:ascii="Times New Roman" w:eastAsia="Times New Roman" w:hAnsi="Times New Roman" w:cs="Times New Roman"/>
          <w:bCs/>
          <w:sz w:val="24"/>
          <w:szCs w:val="24"/>
          <w:lang w:eastAsia="ru-RU"/>
        </w:rPr>
        <w:t xml:space="preserve">Директор МКОУ </w:t>
      </w:r>
    </w:p>
    <w:p w:rsidR="006522D3" w:rsidRPr="006522D3" w:rsidRDefault="006522D3" w:rsidP="006522D3">
      <w:pPr>
        <w:tabs>
          <w:tab w:val="left" w:pos="3780"/>
        </w:tabs>
        <w:ind w:left="360"/>
        <w:rPr>
          <w:rFonts w:ascii="Times New Roman" w:eastAsia="Times New Roman" w:hAnsi="Times New Roman" w:cs="Times New Roman"/>
          <w:bCs/>
          <w:sz w:val="24"/>
          <w:szCs w:val="24"/>
          <w:lang w:eastAsia="ru-RU"/>
        </w:rPr>
      </w:pPr>
      <w:r w:rsidRPr="006522D3">
        <w:rPr>
          <w:rFonts w:ascii="Times New Roman" w:eastAsia="Times New Roman" w:hAnsi="Times New Roman" w:cs="Times New Roman"/>
          <w:bCs/>
          <w:sz w:val="24"/>
          <w:szCs w:val="24"/>
          <w:lang w:eastAsia="ru-RU"/>
        </w:rPr>
        <w:tab/>
        <w:t xml:space="preserve">                                        «Зубутли-Миатлинская СОШ»</w:t>
      </w:r>
    </w:p>
    <w:p w:rsidR="006522D3" w:rsidRPr="006522D3" w:rsidRDefault="006522D3" w:rsidP="006522D3">
      <w:pPr>
        <w:tabs>
          <w:tab w:val="left" w:pos="3765"/>
        </w:tabs>
        <w:ind w:left="360"/>
        <w:rPr>
          <w:rFonts w:ascii="Times New Roman" w:eastAsia="Times New Roman" w:hAnsi="Times New Roman" w:cs="Times New Roman"/>
          <w:bCs/>
          <w:sz w:val="24"/>
          <w:szCs w:val="24"/>
          <w:lang w:eastAsia="ru-RU"/>
        </w:rPr>
      </w:pPr>
      <w:r w:rsidRPr="006522D3">
        <w:rPr>
          <w:rFonts w:ascii="Times New Roman" w:eastAsia="Times New Roman" w:hAnsi="Times New Roman" w:cs="Times New Roman"/>
          <w:bCs/>
          <w:sz w:val="24"/>
          <w:szCs w:val="24"/>
          <w:lang w:eastAsia="ru-RU"/>
        </w:rPr>
        <w:tab/>
        <w:t xml:space="preserve">                                         ______________</w:t>
      </w:r>
      <w:proofErr w:type="spellStart"/>
      <w:r w:rsidRPr="006522D3">
        <w:rPr>
          <w:rFonts w:ascii="Times New Roman" w:eastAsia="Times New Roman" w:hAnsi="Times New Roman" w:cs="Times New Roman"/>
          <w:bCs/>
          <w:sz w:val="24"/>
          <w:szCs w:val="24"/>
          <w:lang w:eastAsia="ru-RU"/>
        </w:rPr>
        <w:t>Кадиева</w:t>
      </w:r>
      <w:proofErr w:type="spellEnd"/>
      <w:r w:rsidRPr="006522D3">
        <w:rPr>
          <w:rFonts w:ascii="Times New Roman" w:eastAsia="Times New Roman" w:hAnsi="Times New Roman" w:cs="Times New Roman"/>
          <w:bCs/>
          <w:sz w:val="24"/>
          <w:szCs w:val="24"/>
          <w:lang w:eastAsia="ru-RU"/>
        </w:rPr>
        <w:t xml:space="preserve"> П.А.</w:t>
      </w:r>
    </w:p>
    <w:p w:rsidR="006522D3" w:rsidRPr="006522D3" w:rsidRDefault="006522D3" w:rsidP="006522D3">
      <w:pPr>
        <w:tabs>
          <w:tab w:val="left" w:pos="708"/>
          <w:tab w:val="left" w:pos="7875"/>
        </w:tabs>
        <w:jc w:val="right"/>
        <w:rPr>
          <w:rFonts w:cstheme="minorHAnsi"/>
          <w:sz w:val="24"/>
          <w:szCs w:val="24"/>
        </w:rPr>
      </w:pPr>
      <w:r w:rsidRPr="006522D3">
        <w:rPr>
          <w:b/>
        </w:rPr>
        <w:tab/>
      </w:r>
      <w:r w:rsidRPr="006522D3">
        <w:rPr>
          <w:b/>
        </w:rPr>
        <w:tab/>
      </w:r>
      <w:r w:rsidRPr="006522D3">
        <w:t>2017г.</w:t>
      </w:r>
    </w:p>
    <w:p w:rsidR="006522D3" w:rsidRPr="006522D3" w:rsidRDefault="006522D3" w:rsidP="006522D3">
      <w:pPr>
        <w:jc w:val="center"/>
        <w:rPr>
          <w:rFonts w:cstheme="minorHAnsi"/>
          <w:b/>
          <w:sz w:val="24"/>
          <w:szCs w:val="24"/>
        </w:rPr>
      </w:pPr>
    </w:p>
    <w:p w:rsidR="00FC7BAD" w:rsidRPr="00FC7BAD" w:rsidRDefault="006522D3" w:rsidP="00FC7BAD">
      <w:pPr>
        <w:spacing w:before="100" w:beforeAutospacing="1" w:after="100" w:afterAutospacing="1"/>
        <w:outlineLvl w:val="1"/>
        <w:rPr>
          <w:rFonts w:ascii="PTSansRegular" w:eastAsia="Times New Roman" w:hAnsi="PTSansRegular" w:cs="Times New Roman"/>
          <w:b/>
          <w:bCs/>
          <w:sz w:val="26"/>
          <w:szCs w:val="28"/>
          <w:lang w:eastAsia="ru-RU"/>
        </w:rPr>
      </w:pPr>
      <w:r>
        <w:rPr>
          <w:rFonts w:ascii="PTSansRegular" w:eastAsia="Times New Roman" w:hAnsi="PTSansRegular" w:cs="Times New Roman"/>
          <w:b/>
          <w:bCs/>
          <w:sz w:val="26"/>
          <w:szCs w:val="28"/>
          <w:lang w:eastAsia="ru-RU"/>
        </w:rPr>
        <w:t xml:space="preserve">                                                  </w:t>
      </w:r>
      <w:r w:rsidR="00FC7BAD" w:rsidRPr="00FC7BAD">
        <w:rPr>
          <w:rFonts w:ascii="PTSansRegular" w:eastAsia="Times New Roman" w:hAnsi="PTSansRegular" w:cs="Times New Roman"/>
          <w:b/>
          <w:bCs/>
          <w:sz w:val="26"/>
          <w:szCs w:val="28"/>
          <w:lang w:eastAsia="ru-RU"/>
        </w:rPr>
        <w:t>ПОЛОЖЕНИЕ</w:t>
      </w:r>
      <w:r w:rsidR="00FC7BAD" w:rsidRPr="00FC7BAD">
        <w:rPr>
          <w:rFonts w:ascii="PTSansRegular" w:eastAsia="Times New Roman" w:hAnsi="PTSansRegular" w:cs="Times New Roman"/>
          <w:b/>
          <w:bCs/>
          <w:sz w:val="26"/>
          <w:szCs w:val="28"/>
          <w:lang w:eastAsia="ru-RU"/>
        </w:rPr>
        <w:br/>
      </w:r>
      <w:r>
        <w:rPr>
          <w:rFonts w:ascii="PTSansRegular" w:eastAsia="Times New Roman" w:hAnsi="PTSansRegular" w:cs="Times New Roman"/>
          <w:b/>
          <w:bCs/>
          <w:sz w:val="26"/>
          <w:szCs w:val="28"/>
          <w:lang w:eastAsia="ru-RU"/>
        </w:rPr>
        <w:t>«</w:t>
      </w:r>
      <w:r w:rsidR="00FC7BAD" w:rsidRPr="00FC7BAD">
        <w:rPr>
          <w:rFonts w:ascii="PTSansRegular" w:eastAsia="Times New Roman" w:hAnsi="PTSansRegular" w:cs="Times New Roman"/>
          <w:b/>
          <w:bCs/>
          <w:sz w:val="26"/>
          <w:szCs w:val="28"/>
          <w:lang w:eastAsia="ru-RU"/>
        </w:rPr>
        <w:t>О ПРОВЕДЕНИИ ПРОМЕЖУТОЧНОЙ АТТЕ</w:t>
      </w:r>
      <w:r w:rsidR="00FC7BAD" w:rsidRPr="006522D3">
        <w:rPr>
          <w:rFonts w:ascii="PTSansRegular" w:eastAsia="Times New Roman" w:hAnsi="PTSansRegular" w:cs="Times New Roman"/>
          <w:b/>
          <w:bCs/>
          <w:sz w:val="26"/>
          <w:szCs w:val="28"/>
          <w:lang w:eastAsia="ru-RU"/>
        </w:rPr>
        <w:t xml:space="preserve">СТАЦИИ УЧАЩИХСЯ И ОСУЩЕСТВЛЕНИЯ </w:t>
      </w:r>
      <w:r w:rsidR="00FC7BAD" w:rsidRPr="00FC7BAD">
        <w:rPr>
          <w:rFonts w:ascii="PTSansRegular" w:eastAsia="Times New Roman" w:hAnsi="PTSansRegular" w:cs="Times New Roman"/>
          <w:b/>
          <w:bCs/>
          <w:sz w:val="26"/>
          <w:szCs w:val="28"/>
          <w:lang w:eastAsia="ru-RU"/>
        </w:rPr>
        <w:t>ТЕКУЩЕГО КОНТРОЛЯ ИХ УСПЕВАЕМОСТИ</w:t>
      </w:r>
      <w:r>
        <w:rPr>
          <w:rFonts w:ascii="PTSansRegular" w:eastAsia="Times New Roman" w:hAnsi="PTSansRegular" w:cs="Times New Roman"/>
          <w:b/>
          <w:bCs/>
          <w:sz w:val="26"/>
          <w:szCs w:val="28"/>
          <w:lang w:eastAsia="ru-RU"/>
        </w:rPr>
        <w:t>»</w:t>
      </w:r>
    </w:p>
    <w:p w:rsidR="00FC7BAD" w:rsidRPr="00FC7BAD" w:rsidRDefault="00FC7BAD" w:rsidP="00FC7BAD">
      <w:pPr>
        <w:spacing w:before="100" w:beforeAutospacing="1" w:after="100" w:afterAutospacing="1"/>
        <w:outlineLvl w:val="4"/>
        <w:rPr>
          <w:rFonts w:ascii="PTSansRegular" w:eastAsia="Times New Roman" w:hAnsi="PTSansRegular" w:cs="Times New Roman"/>
          <w:b/>
          <w:bCs/>
          <w:sz w:val="24"/>
          <w:szCs w:val="24"/>
          <w:lang w:eastAsia="ru-RU"/>
        </w:rPr>
      </w:pPr>
      <w:r w:rsidRPr="00FC7BAD">
        <w:rPr>
          <w:rFonts w:ascii="PTSansRegular" w:eastAsia="Times New Roman" w:hAnsi="PTSansRegular" w:cs="Times New Roman"/>
          <w:b/>
          <w:bCs/>
          <w:sz w:val="24"/>
          <w:szCs w:val="24"/>
          <w:lang w:eastAsia="ru-RU"/>
        </w:rPr>
        <w:t>1. Общие положения</w:t>
      </w:r>
      <w:bookmarkStart w:id="0" w:name="_GoBack"/>
      <w:bookmarkEnd w:id="0"/>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1.1. </w:t>
      </w:r>
      <w:proofErr w:type="gramStart"/>
      <w:r w:rsidRPr="00FC7BAD">
        <w:rPr>
          <w:rFonts w:ascii="PTSerifRegular" w:eastAsia="Times New Roman" w:hAnsi="PTSerifRegular" w:cs="Times New Roman"/>
          <w:color w:val="000000"/>
          <w:sz w:val="24"/>
          <w:szCs w:val="24"/>
          <w:lang w:eastAsia="ru-RU"/>
        </w:rPr>
        <w:t xml:space="preserve">Настоящее Положение разработано в соответствии с Федеральным </w:t>
      </w:r>
      <w:hyperlink r:id="rId6" w:tgtFrame="_blank" w:history="1">
        <w:r w:rsidRPr="006522D3">
          <w:rPr>
            <w:rFonts w:ascii="PTSerifRegular" w:eastAsia="Times New Roman" w:hAnsi="PTSerifRegular" w:cs="Times New Roman"/>
            <w:color w:val="0059AA"/>
            <w:sz w:val="24"/>
            <w:szCs w:val="24"/>
            <w:lang w:eastAsia="ru-RU"/>
          </w:rPr>
          <w:t>законом</w:t>
        </w:r>
      </w:hyperlink>
      <w:r w:rsidRPr="00FC7BAD">
        <w:rPr>
          <w:rFonts w:ascii="PTSerifRegular" w:eastAsia="Times New Roman" w:hAnsi="PTSerifRegular" w:cs="Times New Roman"/>
          <w:color w:val="000000"/>
          <w:sz w:val="24"/>
          <w:szCs w:val="24"/>
          <w:lang w:eastAsia="ru-RU"/>
        </w:rPr>
        <w:t xml:space="preserve"> от 29 декабря 2012 г. № 273-ФЗ «Об образовании в Российской Федерации»,  </w:t>
      </w:r>
      <w:hyperlink r:id="rId7" w:tgtFrame="_blank" w:history="1">
        <w:r w:rsidRPr="006522D3">
          <w:rPr>
            <w:rFonts w:ascii="PTSerifRegular" w:eastAsia="Times New Roman" w:hAnsi="PTSerifRegular" w:cs="Times New Roman"/>
            <w:color w:val="0059AA"/>
            <w:sz w:val="24"/>
            <w:szCs w:val="24"/>
            <w:lang w:eastAsia="ru-RU"/>
          </w:rPr>
          <w:t>Приказом</w:t>
        </w:r>
      </w:hyperlink>
      <w:r w:rsidRPr="00FC7BAD">
        <w:rPr>
          <w:rFonts w:ascii="PTSerifRegular" w:eastAsia="Times New Roman" w:hAnsi="PTSerifRegular" w:cs="Times New Roman"/>
          <w:color w:val="000000"/>
          <w:sz w:val="24"/>
          <w:szCs w:val="24"/>
          <w:lang w:eastAsia="ru-RU"/>
        </w:rPr>
        <w:t xml:space="preserve">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Уставом образовательной организации.</w:t>
      </w:r>
      <w:proofErr w:type="gramEnd"/>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1.2. Настоящее Положение о проведении промежуточной аттестации учащихся и осуществлении текущего контроля их успеваемости (далее - Положение) является локальным нормативным актом образовательной организации (далее - Организации), регулирующим периодичность, порядок,  систему оценок и формы проведения промежуточной аттестации учащихся и текущего контроля их успеваемости. </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1.4. 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w:t>
      </w:r>
      <w:proofErr w:type="gramStart"/>
      <w:r w:rsidRPr="00FC7BAD">
        <w:rPr>
          <w:rFonts w:ascii="PTSerifRegular" w:eastAsia="Times New Roman" w:hAnsi="PTSerifRegular" w:cs="Times New Roman"/>
          <w:color w:val="000000"/>
          <w:sz w:val="24"/>
          <w:szCs w:val="24"/>
          <w:lang w:eastAsia="ru-RU"/>
        </w:rPr>
        <w:t xml:space="preserve"> .</w:t>
      </w:r>
      <w:proofErr w:type="gramEnd"/>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w:t>
      </w:r>
      <w:r w:rsidRPr="00FC7BAD">
        <w:rPr>
          <w:rFonts w:ascii="PTSerifRegular" w:eastAsia="Times New Roman" w:hAnsi="PTSerifRegular" w:cs="Times New Roman"/>
          <w:color w:val="000000"/>
          <w:sz w:val="24"/>
          <w:szCs w:val="24"/>
          <w:lang w:eastAsia="ru-RU"/>
        </w:rPr>
        <w:lastRenderedPageBreak/>
        <w:t>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1.5.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Промежуточная аттестация </w:t>
      </w:r>
      <w:proofErr w:type="gramStart"/>
      <w:r w:rsidRPr="00FC7BAD">
        <w:rPr>
          <w:rFonts w:ascii="PTSerifRegular" w:eastAsia="Times New Roman" w:hAnsi="PTSerifRegular" w:cs="Times New Roman"/>
          <w:color w:val="000000"/>
          <w:sz w:val="24"/>
          <w:szCs w:val="24"/>
          <w:lang w:eastAsia="ru-RU"/>
        </w:rPr>
        <w:t>проводится</w:t>
      </w:r>
      <w:proofErr w:type="gramEnd"/>
      <w:r w:rsidRPr="00FC7BAD">
        <w:rPr>
          <w:rFonts w:ascii="PTSerifRegular" w:eastAsia="Times New Roman" w:hAnsi="PTSerifRegular" w:cs="Times New Roman"/>
          <w:color w:val="000000"/>
          <w:sz w:val="24"/>
          <w:szCs w:val="24"/>
          <w:lang w:eastAsia="ru-RU"/>
        </w:rPr>
        <w:t xml:space="preserve"> начиная со второго класса.</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6522D3">
        <w:rPr>
          <w:rFonts w:ascii="PTSerifRegular" w:eastAsia="Times New Roman" w:hAnsi="PTSerifRegular" w:cs="Times New Roman"/>
          <w:i/>
          <w:iCs/>
          <w:color w:val="000000"/>
          <w:sz w:val="24"/>
          <w:szCs w:val="24"/>
          <w:lang w:eastAsia="ru-RU"/>
        </w:rPr>
        <w:t>Вариант 1</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Промежуточная аттестация проводится по каждому учебному предмету, курсу, дисциплине, модулю по итогам учебного года.</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Сроки проведения промежуточной аттестации определяются образовательной программой.</w:t>
      </w:r>
    </w:p>
    <w:p w:rsidR="00FC7BAD" w:rsidRPr="00FC7BAD" w:rsidRDefault="00FC7BAD" w:rsidP="00FC7BAD">
      <w:pPr>
        <w:spacing w:before="100" w:beforeAutospacing="1" w:after="100" w:afterAutospacing="1"/>
        <w:outlineLvl w:val="4"/>
        <w:rPr>
          <w:rFonts w:ascii="PTSansRegular" w:eastAsia="Times New Roman" w:hAnsi="PTSansRegular" w:cs="Times New Roman"/>
          <w:b/>
          <w:bCs/>
          <w:sz w:val="24"/>
          <w:szCs w:val="24"/>
          <w:lang w:eastAsia="ru-RU"/>
        </w:rPr>
      </w:pPr>
      <w:r w:rsidRPr="00FC7BAD">
        <w:rPr>
          <w:rFonts w:ascii="PTSansRegular" w:eastAsia="Times New Roman" w:hAnsi="PTSansRegular" w:cs="Times New Roman"/>
          <w:b/>
          <w:bCs/>
          <w:sz w:val="24"/>
          <w:szCs w:val="24"/>
          <w:lang w:eastAsia="ru-RU"/>
        </w:rPr>
        <w:t>2. Содержание и порядок проведения текущего контроля успеваемости учащихся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2.1. Текущий контроль успеваемости учащихся проводится в течение учебного периода в целях:</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контроля уровня достижения учащимися результатов, предусмотренных образовательной программой;</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оценки соответствия результатов освоения образовательных программ  требованиям ФГОС;</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проведения учащимся самооценки, оценки его работы педагогическим работником с целью возможного совершенствования  образовательного процесса;</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2.2. Текущий контроль осуществляется педагогическим работником, реализующим соответствующую часть образовательной программы.</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2.3. 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2.4. Фиксация результатов текущего контроля осуществляется, как правило, по пятибалльной системе. Образовательной программой может быть предусмотрена иная шкала фиксации результатов освоения образовательных программ (например, десятибалльная), а также может быть предусмотрена фиксация удовлетворительной  либо неудовлетворительной оценки результатов освоения образовательных программ без разделения на уровни освоения.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2.5.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w:t>
      </w:r>
      <w:r w:rsidRPr="00FC7BAD">
        <w:rPr>
          <w:rFonts w:ascii="PTSerifRegular" w:eastAsia="Times New Roman" w:hAnsi="PTSerifRegular" w:cs="Times New Roman"/>
          <w:color w:val="000000"/>
          <w:sz w:val="24"/>
          <w:szCs w:val="24"/>
          <w:lang w:eastAsia="ru-RU"/>
        </w:rPr>
        <w:lastRenderedPageBreak/>
        <w:t>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2.6 Результаты текущего контроля фиксируются в документах (классных журналах и иных установленных документах).</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2.7. 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2.8.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w:t>
      </w:r>
      <w:r w:rsidRPr="006522D3">
        <w:rPr>
          <w:rFonts w:ascii="PTSerifRegular" w:eastAsia="Times New Roman" w:hAnsi="PTSerifRegular" w:cs="Times New Roman"/>
          <w:color w:val="000000"/>
          <w:sz w:val="24"/>
          <w:szCs w:val="24"/>
          <w:lang w:eastAsia="ru-RU"/>
        </w:rPr>
        <w:t>ские работники в рамках работы с</w:t>
      </w:r>
      <w:r w:rsidRPr="00FC7BAD">
        <w:rPr>
          <w:rFonts w:ascii="PTSerifRegular" w:eastAsia="Times New Roman" w:hAnsi="PTSerifRegular" w:cs="Times New Roman"/>
          <w:color w:val="000000"/>
          <w:sz w:val="24"/>
          <w:szCs w:val="24"/>
          <w:lang w:eastAsia="ru-RU"/>
        </w:rPr>
        <w:t xml:space="preserve">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w:t>
      </w:r>
      <w:r w:rsidRPr="006522D3">
        <w:rPr>
          <w:rFonts w:ascii="PTSerifRegular" w:eastAsia="Times New Roman" w:hAnsi="PTSerifRegular" w:cs="Times New Roman"/>
          <w:color w:val="000000"/>
          <w:sz w:val="24"/>
          <w:szCs w:val="24"/>
          <w:lang w:eastAsia="ru-RU"/>
        </w:rPr>
        <w:t xml:space="preserve"> классному руководителю</w:t>
      </w:r>
      <w:r w:rsidRPr="00FC7BAD">
        <w:rPr>
          <w:rFonts w:ascii="PTSerifRegular" w:eastAsia="Times New Roman" w:hAnsi="PTSerifRegular" w:cs="Times New Roman"/>
          <w:color w:val="000000"/>
          <w:sz w:val="24"/>
          <w:szCs w:val="24"/>
          <w:lang w:eastAsia="ru-RU"/>
        </w:rPr>
        <w:t>.</w:t>
      </w:r>
    </w:p>
    <w:p w:rsidR="00FC7BAD" w:rsidRPr="00FC7BAD" w:rsidRDefault="00FC7BAD" w:rsidP="00FC7BAD">
      <w:pPr>
        <w:spacing w:before="100" w:beforeAutospacing="1" w:after="100" w:afterAutospacing="1"/>
        <w:outlineLvl w:val="4"/>
        <w:rPr>
          <w:rFonts w:ascii="PTSansRegular" w:eastAsia="Times New Roman" w:hAnsi="PTSansRegular" w:cs="Times New Roman"/>
          <w:b/>
          <w:bCs/>
          <w:sz w:val="24"/>
          <w:szCs w:val="24"/>
          <w:lang w:eastAsia="ru-RU"/>
        </w:rPr>
      </w:pPr>
      <w:r w:rsidRPr="00FC7BAD">
        <w:rPr>
          <w:rFonts w:ascii="PTSansRegular" w:eastAsia="Times New Roman" w:hAnsi="PTSansRegular" w:cs="Times New Roman"/>
          <w:b/>
          <w:bCs/>
          <w:sz w:val="24"/>
          <w:szCs w:val="24"/>
          <w:lang w:eastAsia="ru-RU"/>
        </w:rPr>
        <w:t>3. Содержание, и порядок проведения промежуточной аттестации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3.1. Целями проведения промежуточной аттестации являются: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соотнесение этого уровня с требованиями ФГОС;</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3.2. Промежуточная аттестация в Организации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3.3. Формами промежуточной аттестации являются: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 письменная проверка – письменный ответ учащегося на один или систему вопросов (заданий). </w:t>
      </w:r>
      <w:proofErr w:type="gramStart"/>
      <w:r w:rsidRPr="00FC7BAD">
        <w:rPr>
          <w:rFonts w:ascii="PTSerifRegular" w:eastAsia="Times New Roman" w:hAnsi="PTSerifRegular" w:cs="Times New Roman"/>
          <w:color w:val="000000"/>
          <w:sz w:val="24"/>
          <w:szCs w:val="24"/>
          <w:lang w:eastAsia="ru-RU"/>
        </w:rPr>
        <w:t>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roofErr w:type="gramEnd"/>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 устная проверка – устный ответ учащегося на один или систему вопросов в форме ответа на билеты,  беседы, собеседования и </w:t>
      </w:r>
      <w:proofErr w:type="gramStart"/>
      <w:r w:rsidRPr="00FC7BAD">
        <w:rPr>
          <w:rFonts w:ascii="PTSerifRegular" w:eastAsia="Times New Roman" w:hAnsi="PTSerifRegular" w:cs="Times New Roman"/>
          <w:color w:val="000000"/>
          <w:sz w:val="24"/>
          <w:szCs w:val="24"/>
          <w:lang w:eastAsia="ru-RU"/>
        </w:rPr>
        <w:t>другое</w:t>
      </w:r>
      <w:proofErr w:type="gramEnd"/>
      <w:r w:rsidRPr="00FC7BAD">
        <w:rPr>
          <w:rFonts w:ascii="PTSerifRegular" w:eastAsia="Times New Roman" w:hAnsi="PTSerifRegular" w:cs="Times New Roman"/>
          <w:color w:val="000000"/>
          <w:sz w:val="24"/>
          <w:szCs w:val="24"/>
          <w:lang w:eastAsia="ru-RU"/>
        </w:rPr>
        <w:t>;</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lastRenderedPageBreak/>
        <w:t>- комбинированная проверка - сочетание письменных и устных форм проверок.</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Иные формы промежуточной аттестации могут предусматриваться образовательной программой.</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В случаях, предусмотренных образовательной программой,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3.4. Фиксация результатов промежуточной аттестации осуществляется, как правило, по пятибалльной системе. Образовательной программой может быть предусмотрена иная шкала фиксации результатов промежуточной аттестации (например, десятибалльная), а также может быть предусмотрена фиксация удовлетворительного  либо неудовлетворительного результата промежуточной аттестации без разделения на уровни.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3.5.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Организацией с учетом учебного плана, индивидуального учебного плана на основании заявления учащегося (его родителей, законных представителей).</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3.6.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w:t>
      </w:r>
      <w:proofErr w:type="gramStart"/>
      <w:r w:rsidRPr="00FC7BAD">
        <w:rPr>
          <w:rFonts w:ascii="PTSerifRegular" w:eastAsia="Times New Roman" w:hAnsi="PTSerifRegular" w:cs="Times New Roman"/>
          <w:color w:val="000000"/>
          <w:sz w:val="24"/>
          <w:szCs w:val="24"/>
          <w:lang w:eastAsia="ru-RU"/>
        </w:rPr>
        <w:t>в</w:t>
      </w:r>
      <w:proofErr w:type="gramEnd"/>
      <w:r w:rsidRPr="00FC7BAD">
        <w:rPr>
          <w:rFonts w:ascii="PTSerifRegular" w:eastAsia="Times New Roman" w:hAnsi="PTSerifRegular" w:cs="Times New Roman"/>
          <w:color w:val="000000"/>
          <w:sz w:val="24"/>
          <w:szCs w:val="24"/>
          <w:lang w:eastAsia="ru-RU"/>
        </w:rPr>
        <w:t xml:space="preserve"> </w:t>
      </w:r>
      <w:proofErr w:type="gramStart"/>
      <w:r w:rsidRPr="00FC7BAD">
        <w:rPr>
          <w:rFonts w:ascii="PTSerifRegular" w:eastAsia="Times New Roman" w:hAnsi="PTSerifRegular" w:cs="Times New Roman"/>
          <w:color w:val="000000"/>
          <w:sz w:val="24"/>
          <w:szCs w:val="24"/>
          <w:lang w:eastAsia="ru-RU"/>
        </w:rPr>
        <w:t>родителями</w:t>
      </w:r>
      <w:proofErr w:type="gramEnd"/>
      <w:r w:rsidRPr="00FC7BAD">
        <w:rPr>
          <w:rFonts w:ascii="PTSerifRegular" w:eastAsia="Times New Roman" w:hAnsi="PTSerifRegular" w:cs="Times New Roman"/>
          <w:color w:val="000000"/>
          <w:sz w:val="24"/>
          <w:szCs w:val="24"/>
          <w:lang w:eastAsia="ru-RU"/>
        </w:rPr>
        <w:t xml:space="preserve">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w:t>
      </w:r>
      <w:r w:rsidRPr="006522D3">
        <w:rPr>
          <w:rFonts w:ascii="PTSerifRegular" w:eastAsia="Times New Roman" w:hAnsi="PTSerifRegular" w:cs="Times New Roman"/>
          <w:color w:val="000000"/>
          <w:sz w:val="24"/>
          <w:szCs w:val="24"/>
          <w:lang w:eastAsia="ru-RU"/>
        </w:rPr>
        <w:t xml:space="preserve"> к </w:t>
      </w:r>
      <w:r w:rsidRPr="00FC7BAD">
        <w:rPr>
          <w:rFonts w:ascii="PTSerifRegular" w:eastAsia="Times New Roman" w:hAnsi="PTSerifRegular" w:cs="Times New Roman"/>
          <w:color w:val="000000"/>
          <w:sz w:val="24"/>
          <w:szCs w:val="24"/>
          <w:lang w:eastAsia="ru-RU"/>
        </w:rPr>
        <w:t xml:space="preserve"> классному руководителю</w:t>
      </w:r>
      <w:r w:rsidRPr="006522D3">
        <w:rPr>
          <w:rFonts w:ascii="PTSerifRegular" w:eastAsia="Times New Roman" w:hAnsi="PTSerifRegular" w:cs="Times New Roman"/>
          <w:color w:val="000000"/>
          <w:sz w:val="24"/>
          <w:szCs w:val="24"/>
          <w:lang w:eastAsia="ru-RU"/>
        </w:rPr>
        <w:t>.</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3.7 Особенности сроков и порядка проведения промежуточной аттестации могут быть установлены Организацией для следующих категорий учащихся по заявлению учащихся (их законных представителей):</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       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w:t>
      </w:r>
      <w:proofErr w:type="gramStart"/>
      <w:r w:rsidRPr="00FC7BAD">
        <w:rPr>
          <w:rFonts w:ascii="PTSerifRegular" w:eastAsia="Times New Roman" w:hAnsi="PTSerifRegular" w:cs="Times New Roman"/>
          <w:color w:val="000000"/>
          <w:sz w:val="24"/>
          <w:szCs w:val="24"/>
          <w:lang w:eastAsia="ru-RU"/>
        </w:rPr>
        <w:t>сборы</w:t>
      </w:r>
      <w:proofErr w:type="gramEnd"/>
      <w:r w:rsidRPr="00FC7BAD">
        <w:rPr>
          <w:rFonts w:ascii="PTSerifRegular" w:eastAsia="Times New Roman" w:hAnsi="PTSerifRegular" w:cs="Times New Roman"/>
          <w:color w:val="000000"/>
          <w:sz w:val="24"/>
          <w:szCs w:val="24"/>
          <w:lang w:eastAsia="ru-RU"/>
        </w:rPr>
        <w:t xml:space="preserve"> и иные подобные мероприятия;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       отъезжающих на постоянное место жительства за рубеж;</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для иных учащихся по решению …. (педагогического совета или иного органа).</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3.8.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3.9 Итоги промежуточной аттестации обсуждаются на заседаниях методических объединений и педагогического совета Организации.</w:t>
      </w:r>
    </w:p>
    <w:p w:rsidR="00FC7BAD" w:rsidRPr="00FC7BAD" w:rsidRDefault="00FC7BAD" w:rsidP="00FC7BAD">
      <w:pPr>
        <w:spacing w:before="100" w:beforeAutospacing="1" w:after="100" w:afterAutospacing="1"/>
        <w:outlineLvl w:val="4"/>
        <w:rPr>
          <w:rFonts w:ascii="PTSansRegular" w:eastAsia="Times New Roman" w:hAnsi="PTSansRegular" w:cs="Times New Roman"/>
          <w:b/>
          <w:bCs/>
          <w:sz w:val="24"/>
          <w:szCs w:val="24"/>
          <w:lang w:eastAsia="ru-RU"/>
        </w:rPr>
      </w:pPr>
      <w:r w:rsidRPr="00FC7BAD">
        <w:rPr>
          <w:rFonts w:ascii="PTSansRegular" w:eastAsia="Times New Roman" w:hAnsi="PTSansRegular" w:cs="Times New Roman"/>
          <w:b/>
          <w:bCs/>
          <w:sz w:val="24"/>
          <w:szCs w:val="24"/>
          <w:lang w:eastAsia="ru-RU"/>
        </w:rPr>
        <w:lastRenderedPageBreak/>
        <w:t>4. Порядок перевода учащихся в следующий класс</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4.1. Учащиеся, освоившие в полном объёме соответствующую часть образовательной программы, переводятся в следующий класс.</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4.2.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gramStart"/>
      <w:r w:rsidRPr="00FC7BAD">
        <w:rPr>
          <w:rFonts w:ascii="PTSerifRegular" w:eastAsia="Times New Roman" w:hAnsi="PTSerifRegular" w:cs="Times New Roman"/>
          <w:color w:val="000000"/>
          <w:sz w:val="24"/>
          <w:szCs w:val="24"/>
          <w:lang w:eastAsia="ru-RU"/>
        </w:rPr>
        <w:t>не</w:t>
      </w:r>
      <w:r w:rsidRPr="006522D3">
        <w:rPr>
          <w:rFonts w:ascii="PTSerifRegular" w:eastAsia="Times New Roman" w:hAnsi="PTSerifRegular" w:cs="Times New Roman"/>
          <w:color w:val="000000"/>
          <w:sz w:val="24"/>
          <w:szCs w:val="24"/>
          <w:lang w:eastAsia="ru-RU"/>
        </w:rPr>
        <w:t xml:space="preserve"> </w:t>
      </w:r>
      <w:r w:rsidRPr="00FC7BAD">
        <w:rPr>
          <w:rFonts w:ascii="PTSerifRegular" w:eastAsia="Times New Roman" w:hAnsi="PTSerifRegular" w:cs="Times New Roman"/>
          <w:color w:val="000000"/>
          <w:sz w:val="24"/>
          <w:szCs w:val="24"/>
          <w:lang w:eastAsia="ru-RU"/>
        </w:rPr>
        <w:t>прохождение</w:t>
      </w:r>
      <w:proofErr w:type="gramEnd"/>
      <w:r w:rsidRPr="00FC7BAD">
        <w:rPr>
          <w:rFonts w:ascii="PTSerifRegular" w:eastAsia="Times New Roman" w:hAnsi="PTSerifRegular" w:cs="Times New Roman"/>
          <w:color w:val="000000"/>
          <w:sz w:val="24"/>
          <w:szCs w:val="24"/>
          <w:lang w:eastAsia="ru-RU"/>
        </w:rPr>
        <w:t xml:space="preserve"> промежуточной аттестации при отсутствии уважительных причин признаются академической задолженностью. </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4.3. Учащиеся обязаны ликвидировать академическую задолженность.</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4.4. Организация создает  условия учащемуся для ликвидации академической задолженности и обеспечивает </w:t>
      </w:r>
      <w:proofErr w:type="gramStart"/>
      <w:r w:rsidRPr="00FC7BAD">
        <w:rPr>
          <w:rFonts w:ascii="PTSerifRegular" w:eastAsia="Times New Roman" w:hAnsi="PTSerifRegular" w:cs="Times New Roman"/>
          <w:color w:val="000000"/>
          <w:sz w:val="24"/>
          <w:szCs w:val="24"/>
          <w:lang w:eastAsia="ru-RU"/>
        </w:rPr>
        <w:t>контроль за</w:t>
      </w:r>
      <w:proofErr w:type="gramEnd"/>
      <w:r w:rsidRPr="00FC7BAD">
        <w:rPr>
          <w:rFonts w:ascii="PTSerifRegular" w:eastAsia="Times New Roman" w:hAnsi="PTSerifRegular" w:cs="Times New Roman"/>
          <w:color w:val="000000"/>
          <w:sz w:val="24"/>
          <w:szCs w:val="24"/>
          <w:lang w:eastAsia="ru-RU"/>
        </w:rPr>
        <w:t xml:space="preserve"> своевременностью ее ликвидации.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4.6. Для проведения промежуточной аттестации при ликвидации академической задолженности во второй раз Организацией создается комиссия.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4.7. Не допускается взимание платы с учащихся за прохождение промежуточной аттестации.</w:t>
      </w:r>
    </w:p>
    <w:p w:rsidR="006522D3"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4.8. </w:t>
      </w:r>
      <w:r w:rsidR="006522D3">
        <w:rPr>
          <w:rFonts w:ascii="PTSerifRegular" w:eastAsia="Times New Roman" w:hAnsi="PTSerifRegular" w:cs="Times New Roman" w:hint="eastAsia"/>
          <w:color w:val="000000"/>
          <w:sz w:val="24"/>
          <w:szCs w:val="24"/>
          <w:lang w:eastAsia="ru-RU"/>
        </w:rPr>
        <w:t>О</w:t>
      </w:r>
      <w:r w:rsidR="006522D3">
        <w:rPr>
          <w:rFonts w:ascii="PTSerifRegular" w:eastAsia="Times New Roman" w:hAnsi="PTSerifRegular" w:cs="Times New Roman"/>
          <w:color w:val="000000"/>
          <w:sz w:val="24"/>
          <w:szCs w:val="24"/>
          <w:lang w:eastAsia="ru-RU"/>
        </w:rPr>
        <w:t>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оставляются на повторное обучение.</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4.9. </w:t>
      </w:r>
      <w:proofErr w:type="gramStart"/>
      <w:r w:rsidRPr="00FC7BAD">
        <w:rPr>
          <w:rFonts w:ascii="PTSerifRegular" w:eastAsia="Times New Roman" w:hAnsi="PTSerifRegular" w:cs="Times New Roman"/>
          <w:color w:val="000000"/>
          <w:sz w:val="24"/>
          <w:szCs w:val="24"/>
          <w:lang w:eastAsia="ru-RU"/>
        </w:rPr>
        <w:t>Учащиеся в Организации по образовательным программам начального общего, 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Организация информирует родителей учащегося о необходимости принятия решения об организации дальнейшего обучения учащегося в письменной форме.</w:t>
      </w:r>
    </w:p>
    <w:p w:rsidR="00FC7BAD" w:rsidRPr="00FC7BAD" w:rsidRDefault="00FC7BAD" w:rsidP="00FC7BAD">
      <w:pPr>
        <w:spacing w:before="100" w:beforeAutospacing="1" w:after="100" w:afterAutospacing="1"/>
        <w:outlineLvl w:val="4"/>
        <w:rPr>
          <w:rFonts w:ascii="PTSansRegular" w:eastAsia="Times New Roman" w:hAnsi="PTSansRegular" w:cs="Times New Roman"/>
          <w:b/>
          <w:bCs/>
          <w:sz w:val="24"/>
          <w:szCs w:val="24"/>
          <w:lang w:eastAsia="ru-RU"/>
        </w:rPr>
      </w:pPr>
      <w:r w:rsidRPr="00FC7BAD">
        <w:rPr>
          <w:rFonts w:ascii="PTSansRegular" w:eastAsia="Times New Roman" w:hAnsi="PTSansRegular" w:cs="Times New Roman"/>
          <w:b/>
          <w:bCs/>
          <w:sz w:val="24"/>
          <w:szCs w:val="24"/>
          <w:lang w:eastAsia="ru-RU"/>
        </w:rPr>
        <w:t>5. Особенности проведения промежуточной аттестации экстернов</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5.1. 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  </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5.2. По заявлению экстерна образовательная организация вправе установить индивидуальный срок проведения промежуточной аттестации.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5.3.</w:t>
      </w:r>
      <w:r w:rsidR="006522D3" w:rsidRPr="006522D3">
        <w:rPr>
          <w:rFonts w:ascii="PTSerifRegular" w:eastAsia="Times New Roman" w:hAnsi="PTSerifRegular" w:cs="Times New Roman"/>
          <w:color w:val="000000"/>
          <w:sz w:val="24"/>
          <w:szCs w:val="24"/>
          <w:lang w:eastAsia="ru-RU"/>
        </w:rPr>
        <w:t>Ученик</w:t>
      </w:r>
      <w:r w:rsidRPr="00FC7BAD">
        <w:rPr>
          <w:rFonts w:ascii="PTSerifRegular" w:eastAsia="Times New Roman" w:hAnsi="PTSerifRegular" w:cs="Times New Roman"/>
          <w:color w:val="000000"/>
          <w:sz w:val="24"/>
          <w:szCs w:val="24"/>
          <w:lang w:eastAsia="ru-RU"/>
        </w:rPr>
        <w:t>, желающий пройти промежуточную аттестацию в образовательной организации, (его законные представители) имеет право на получение информации о сроках, формах и порядке проведения промежуточной аттестации, а также о порядке зачисления экстерном в образовательную организацию.</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5.4.</w:t>
      </w:r>
      <w:r w:rsidR="006522D3" w:rsidRPr="006522D3">
        <w:rPr>
          <w:rFonts w:ascii="PTSerifRegular" w:eastAsia="Times New Roman" w:hAnsi="PTSerifRegular" w:cs="Times New Roman"/>
          <w:color w:val="000000"/>
          <w:sz w:val="24"/>
          <w:szCs w:val="24"/>
          <w:lang w:eastAsia="ru-RU"/>
        </w:rPr>
        <w:t>Ученик</w:t>
      </w:r>
      <w:r w:rsidRPr="00FC7BAD">
        <w:rPr>
          <w:rFonts w:ascii="PTSerifRegular" w:eastAsia="Times New Roman" w:hAnsi="PTSerifRegular" w:cs="Times New Roman"/>
          <w:color w:val="000000"/>
          <w:sz w:val="24"/>
          <w:szCs w:val="24"/>
          <w:lang w:eastAsia="ru-RU"/>
        </w:rPr>
        <w:t>, желающий пройти промежуточную аттестацию (его законные представители) должен подать заявление о зачислении его экстерном в образовательную</w:t>
      </w:r>
      <w:r w:rsidR="006522D3" w:rsidRPr="006522D3">
        <w:rPr>
          <w:rFonts w:ascii="PTSerifRegular" w:eastAsia="Times New Roman" w:hAnsi="PTSerifRegular" w:cs="Times New Roman"/>
          <w:color w:val="000000"/>
          <w:sz w:val="24"/>
          <w:szCs w:val="24"/>
          <w:lang w:eastAsia="ru-RU"/>
        </w:rPr>
        <w:t xml:space="preserve"> организацию не позднее, чем за месяц</w:t>
      </w:r>
      <w:r w:rsidRPr="00FC7BAD">
        <w:rPr>
          <w:rFonts w:ascii="PTSerifRegular" w:eastAsia="Times New Roman" w:hAnsi="PTSerifRegular" w:cs="Times New Roman"/>
          <w:color w:val="000000"/>
          <w:sz w:val="24"/>
          <w:szCs w:val="24"/>
          <w:lang w:eastAsia="ru-RU"/>
        </w:rPr>
        <w:t xml:space="preserve"> до начала проведения соответствующей промежуточной аттестации. В ином случае </w:t>
      </w:r>
      <w:r w:rsidR="006522D3" w:rsidRPr="006522D3">
        <w:rPr>
          <w:rFonts w:ascii="PTSerifRegular" w:eastAsia="Times New Roman" w:hAnsi="PTSerifRegular" w:cs="Times New Roman"/>
          <w:color w:val="000000"/>
          <w:sz w:val="24"/>
          <w:szCs w:val="24"/>
          <w:lang w:eastAsia="ru-RU"/>
        </w:rPr>
        <w:t xml:space="preserve">учащийся </w:t>
      </w:r>
      <w:r w:rsidRPr="00FC7BAD">
        <w:rPr>
          <w:rFonts w:ascii="PTSerifRegular" w:eastAsia="Times New Roman" w:hAnsi="PTSerifRegular" w:cs="Times New Roman"/>
          <w:color w:val="000000"/>
          <w:sz w:val="24"/>
          <w:szCs w:val="24"/>
          <w:lang w:eastAsia="ru-RU"/>
        </w:rPr>
        <w:t xml:space="preserve">к проведению промежуточной аттестации в указанный срок не </w:t>
      </w:r>
      <w:r w:rsidRPr="00FC7BAD">
        <w:rPr>
          <w:rFonts w:ascii="PTSerifRegular" w:eastAsia="Times New Roman" w:hAnsi="PTSerifRegular" w:cs="Times New Roman"/>
          <w:color w:val="000000"/>
          <w:sz w:val="24"/>
          <w:szCs w:val="24"/>
          <w:lang w:eastAsia="ru-RU"/>
        </w:rPr>
        <w:lastRenderedPageBreak/>
        <w:t>допускается, за исключением случая, предусмотренного пунктом 5.2 настоящего положения. </w:t>
      </w:r>
    </w:p>
    <w:p w:rsidR="00331B25" w:rsidRPr="006522D3" w:rsidRDefault="00331B25">
      <w:pPr>
        <w:rPr>
          <w:sz w:val="24"/>
          <w:szCs w:val="24"/>
        </w:rPr>
      </w:pPr>
    </w:p>
    <w:sectPr w:rsidR="00331B25" w:rsidRPr="006522D3" w:rsidSect="006522D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SansRegular">
    <w:altName w:val="Times New Roman"/>
    <w:charset w:val="00"/>
    <w:family w:val="auto"/>
    <w:pitch w:val="default"/>
  </w:font>
  <w:font w:name="PTSerifRegular">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552"/>
    <w:rsid w:val="0000067F"/>
    <w:rsid w:val="00331B25"/>
    <w:rsid w:val="00340332"/>
    <w:rsid w:val="00553552"/>
    <w:rsid w:val="006522D3"/>
    <w:rsid w:val="00F04004"/>
    <w:rsid w:val="00FC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6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
    <w:uiPriority w:val="34"/>
    <w:qFormat/>
    <w:rsid w:val="0000067F"/>
    <w:pPr>
      <w:ind w:left="720"/>
      <w:contextualSpacing/>
    </w:pPr>
  </w:style>
  <w:style w:type="character" w:styleId="a5">
    <w:name w:val="Book Title"/>
    <w:basedOn w:val="a0"/>
    <w:uiPriority w:val="33"/>
    <w:qFormat/>
    <w:rsid w:val="0000067F"/>
    <w:rPr>
      <w:b/>
      <w:bCs/>
      <w:smallCaps/>
      <w:spacing w:val="5"/>
    </w:rPr>
  </w:style>
  <w:style w:type="paragraph" w:styleId="a6">
    <w:name w:val="Balloon Text"/>
    <w:basedOn w:val="a"/>
    <w:link w:val="a7"/>
    <w:uiPriority w:val="99"/>
    <w:semiHidden/>
    <w:unhideWhenUsed/>
    <w:rsid w:val="006522D3"/>
    <w:rPr>
      <w:rFonts w:ascii="Tahoma" w:hAnsi="Tahoma" w:cs="Tahoma"/>
      <w:sz w:val="16"/>
      <w:szCs w:val="16"/>
    </w:rPr>
  </w:style>
  <w:style w:type="character" w:customStyle="1" w:styleId="a7">
    <w:name w:val="Текст выноски Знак"/>
    <w:basedOn w:val="a0"/>
    <w:link w:val="a6"/>
    <w:uiPriority w:val="99"/>
    <w:semiHidden/>
    <w:rsid w:val="006522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6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
    <w:uiPriority w:val="34"/>
    <w:qFormat/>
    <w:rsid w:val="0000067F"/>
    <w:pPr>
      <w:ind w:left="720"/>
      <w:contextualSpacing/>
    </w:pPr>
  </w:style>
  <w:style w:type="character" w:styleId="a5">
    <w:name w:val="Book Title"/>
    <w:basedOn w:val="a0"/>
    <w:uiPriority w:val="33"/>
    <w:qFormat/>
    <w:rsid w:val="0000067F"/>
    <w:rPr>
      <w:b/>
      <w:bCs/>
      <w:smallCaps/>
      <w:spacing w:val="5"/>
    </w:rPr>
  </w:style>
  <w:style w:type="paragraph" w:styleId="a6">
    <w:name w:val="Balloon Text"/>
    <w:basedOn w:val="a"/>
    <w:link w:val="a7"/>
    <w:uiPriority w:val="99"/>
    <w:semiHidden/>
    <w:unhideWhenUsed/>
    <w:rsid w:val="006522D3"/>
    <w:rPr>
      <w:rFonts w:ascii="Tahoma" w:hAnsi="Tahoma" w:cs="Tahoma"/>
      <w:sz w:val="16"/>
      <w:szCs w:val="16"/>
    </w:rPr>
  </w:style>
  <w:style w:type="character" w:customStyle="1" w:styleId="a7">
    <w:name w:val="Текст выноски Знак"/>
    <w:basedOn w:val="a0"/>
    <w:link w:val="a6"/>
    <w:uiPriority w:val="99"/>
    <w:semiHidden/>
    <w:rsid w:val="006522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792203">
      <w:bodyDiv w:val="1"/>
      <w:marLeft w:val="0"/>
      <w:marRight w:val="0"/>
      <w:marTop w:val="0"/>
      <w:marBottom w:val="0"/>
      <w:divBdr>
        <w:top w:val="none" w:sz="0" w:space="0" w:color="auto"/>
        <w:left w:val="none" w:sz="0" w:space="0" w:color="auto"/>
        <w:bottom w:val="none" w:sz="0" w:space="0" w:color="auto"/>
        <w:right w:val="none" w:sz="0" w:space="0" w:color="auto"/>
      </w:divBdr>
      <w:divsChild>
        <w:div w:id="1079717730">
          <w:marLeft w:val="0"/>
          <w:marRight w:val="0"/>
          <w:marTop w:val="750"/>
          <w:marBottom w:val="750"/>
          <w:divBdr>
            <w:top w:val="none" w:sz="0" w:space="0" w:color="auto"/>
            <w:left w:val="none" w:sz="0" w:space="0" w:color="auto"/>
            <w:bottom w:val="none" w:sz="0" w:space="0" w:color="auto"/>
            <w:right w:val="none" w:sz="0" w:space="0" w:color="auto"/>
          </w:divBdr>
          <w:divsChild>
            <w:div w:id="1942907776">
              <w:marLeft w:val="0"/>
              <w:marRight w:val="0"/>
              <w:marTop w:val="0"/>
              <w:marBottom w:val="0"/>
              <w:divBdr>
                <w:top w:val="none" w:sz="0" w:space="0" w:color="auto"/>
                <w:left w:val="none" w:sz="0" w:space="0" w:color="auto"/>
                <w:bottom w:val="none" w:sz="0" w:space="0" w:color="auto"/>
                <w:right w:val="none" w:sz="0" w:space="0" w:color="auto"/>
              </w:divBdr>
              <w:divsChild>
                <w:div w:id="1613124370">
                  <w:marLeft w:val="0"/>
                  <w:marRight w:val="0"/>
                  <w:marTop w:val="0"/>
                  <w:marBottom w:val="0"/>
                  <w:divBdr>
                    <w:top w:val="none" w:sz="0" w:space="0" w:color="auto"/>
                    <w:left w:val="none" w:sz="0" w:space="0" w:color="auto"/>
                    <w:bottom w:val="none" w:sz="0" w:space="0" w:color="auto"/>
                    <w:right w:val="none" w:sz="0" w:space="0" w:color="auto"/>
                  </w:divBdr>
                  <w:divsChild>
                    <w:div w:id="1594245992">
                      <w:marLeft w:val="0"/>
                      <w:marRight w:val="0"/>
                      <w:marTop w:val="300"/>
                      <w:marBottom w:val="300"/>
                      <w:divBdr>
                        <w:top w:val="none" w:sz="0" w:space="0" w:color="auto"/>
                        <w:left w:val="none" w:sz="0" w:space="0" w:color="auto"/>
                        <w:bottom w:val="none" w:sz="0" w:space="0" w:color="auto"/>
                        <w:right w:val="none" w:sz="0" w:space="0" w:color="auto"/>
                      </w:divBdr>
                      <w:divsChild>
                        <w:div w:id="1164737674">
                          <w:marLeft w:val="0"/>
                          <w:marRight w:val="0"/>
                          <w:marTop w:val="0"/>
                          <w:marBottom w:val="0"/>
                          <w:divBdr>
                            <w:top w:val="none" w:sz="0" w:space="0" w:color="auto"/>
                            <w:left w:val="none" w:sz="0" w:space="0" w:color="auto"/>
                            <w:bottom w:val="none" w:sz="0" w:space="0" w:color="auto"/>
                            <w:right w:val="none" w:sz="0" w:space="0" w:color="auto"/>
                          </w:divBdr>
                          <w:divsChild>
                            <w:div w:id="250548550">
                              <w:marLeft w:val="0"/>
                              <w:marRight w:val="0"/>
                              <w:marTop w:val="0"/>
                              <w:marBottom w:val="0"/>
                              <w:divBdr>
                                <w:top w:val="none" w:sz="0" w:space="0" w:color="auto"/>
                                <w:left w:val="none" w:sz="0" w:space="0" w:color="auto"/>
                                <w:bottom w:val="none" w:sz="0" w:space="0" w:color="auto"/>
                                <w:right w:val="none" w:sz="0" w:space="0" w:color="auto"/>
                              </w:divBdr>
                              <w:divsChild>
                                <w:div w:id="1916354688">
                                  <w:marLeft w:val="0"/>
                                  <w:marRight w:val="0"/>
                                  <w:marTop w:val="0"/>
                                  <w:marBottom w:val="0"/>
                                  <w:divBdr>
                                    <w:top w:val="none" w:sz="0" w:space="0" w:color="auto"/>
                                    <w:left w:val="none" w:sz="0" w:space="0" w:color="auto"/>
                                    <w:bottom w:val="none" w:sz="0" w:space="0" w:color="auto"/>
                                    <w:right w:val="none" w:sz="0" w:space="0" w:color="auto"/>
                                  </w:divBdr>
                                  <w:divsChild>
                                    <w:div w:id="1732541155">
                                      <w:marLeft w:val="0"/>
                                      <w:marRight w:val="0"/>
                                      <w:marTop w:val="0"/>
                                      <w:marBottom w:val="0"/>
                                      <w:divBdr>
                                        <w:top w:val="none" w:sz="0" w:space="0" w:color="auto"/>
                                        <w:left w:val="none" w:sz="0" w:space="0" w:color="auto"/>
                                        <w:bottom w:val="none" w:sz="0" w:space="0" w:color="auto"/>
                                        <w:right w:val="none" w:sz="0" w:space="0" w:color="auto"/>
                                      </w:divBdr>
                                      <w:divsChild>
                                        <w:div w:id="1416393225">
                                          <w:marLeft w:val="0"/>
                                          <w:marRight w:val="0"/>
                                          <w:marTop w:val="0"/>
                                          <w:marBottom w:val="0"/>
                                          <w:divBdr>
                                            <w:top w:val="none" w:sz="0" w:space="0" w:color="auto"/>
                                            <w:left w:val="none" w:sz="0" w:space="0" w:color="auto"/>
                                            <w:bottom w:val="none" w:sz="0" w:space="0" w:color="auto"/>
                                            <w:right w:val="none" w:sz="0" w:space="0" w:color="auto"/>
                                          </w:divBdr>
                                          <w:divsChild>
                                            <w:div w:id="785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73-&#1092;&#1079;.&#1088;&#1092;/akty_minobrnauki_rossii/prikaz-minobrnauki-rf-ot-30082013-no-101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273-&#1092;&#1079;.&#1088;&#1092;/zakonodatelstvo/federalnyy-zakon-ot-29-dekabrya-2012-g-no-273-fz-ob-obrazovanii-v-r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2065</Words>
  <Characters>11777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3</cp:revision>
  <cp:lastPrinted>2017-12-02T05:36:00Z</cp:lastPrinted>
  <dcterms:created xsi:type="dcterms:W3CDTF">2017-12-02T05:15:00Z</dcterms:created>
  <dcterms:modified xsi:type="dcterms:W3CDTF">2017-12-02T05:36:00Z</dcterms:modified>
</cp:coreProperties>
</file>